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928" w:rsidRPr="00365928" w:rsidRDefault="00365928" w:rsidP="00365928">
      <w:pPr>
        <w:spacing w:before="150" w:after="150" w:line="750" w:lineRule="atLeast"/>
        <w:outlineLvl w:val="0"/>
        <w:rPr>
          <w:rFonts w:ascii="franklin_gothic_fs_bookRg" w:eastAsia="Times New Roman" w:hAnsi="franklin_gothic_fs_bookRg" w:cs="Arial"/>
          <w:color w:val="383735"/>
          <w:kern w:val="36"/>
          <w:sz w:val="66"/>
          <w:szCs w:val="66"/>
          <w:lang w:val="en" w:eastAsia="en-GB"/>
        </w:rPr>
      </w:pPr>
      <w:r w:rsidRPr="00365928">
        <w:rPr>
          <w:rFonts w:ascii="franklin_gothic_fs_bookRg" w:eastAsia="Times New Roman" w:hAnsi="franklin_gothic_fs_bookRg" w:cs="Arial"/>
          <w:color w:val="383735"/>
          <w:kern w:val="36"/>
          <w:sz w:val="66"/>
          <w:szCs w:val="66"/>
          <w:lang w:val="en" w:eastAsia="en-GB"/>
        </w:rPr>
        <w:t>UK qualification reform</w:t>
      </w:r>
    </w:p>
    <w:p w:rsidR="00365928" w:rsidRPr="00365928" w:rsidRDefault="00365928" w:rsidP="00365928">
      <w:pPr>
        <w:spacing w:after="300" w:line="360" w:lineRule="atLeast"/>
        <w:rPr>
          <w:rFonts w:ascii="Georgia" w:eastAsia="Times New Roman" w:hAnsi="Georgia" w:cs="Arial"/>
          <w:i/>
          <w:iCs/>
          <w:color w:val="383735"/>
          <w:sz w:val="30"/>
          <w:szCs w:val="30"/>
          <w:lang w:val="en" w:eastAsia="en-GB"/>
        </w:rPr>
      </w:pPr>
      <w:r w:rsidRPr="00365928">
        <w:rPr>
          <w:rFonts w:ascii="Georgia" w:eastAsia="Times New Roman" w:hAnsi="Georgia" w:cs="Arial"/>
          <w:i/>
          <w:iCs/>
          <w:color w:val="383735"/>
          <w:sz w:val="30"/>
          <w:szCs w:val="30"/>
          <w:lang w:val="en" w:eastAsia="en-GB"/>
        </w:rPr>
        <w:t>Qualifications in the UK are currently undergoing significant changes.</w:t>
      </w:r>
    </w:p>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This will lead to changes in the school curriculums and, as a result, some of our entry requirements for entry 2018 and 2019 are being amended.</w:t>
      </w:r>
    </w:p>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However, we will work to ensure that no applicants are disadvantaged as a result of the changes and we remain committed to admitting students who are most able to benefit from a Cardiff University education, regardless of background.</w:t>
      </w:r>
    </w:p>
    <w:p w:rsidR="00365928" w:rsidRPr="00365928" w:rsidRDefault="00365928" w:rsidP="00365928">
      <w:pPr>
        <w:spacing w:before="150" w:after="150" w:line="600" w:lineRule="atLeast"/>
        <w:outlineLvl w:val="1"/>
        <w:rPr>
          <w:rFonts w:ascii="franklin_gothic_fs_bookRg" w:eastAsia="Times New Roman" w:hAnsi="franklin_gothic_fs_bookRg" w:cs="Arial"/>
          <w:color w:val="383735"/>
          <w:sz w:val="51"/>
          <w:szCs w:val="51"/>
          <w:lang w:val="en" w:eastAsia="en-GB"/>
        </w:rPr>
      </w:pPr>
      <w:r w:rsidRPr="00365928">
        <w:rPr>
          <w:rFonts w:ascii="franklin_gothic_fs_bookRg" w:eastAsia="Times New Roman" w:hAnsi="franklin_gothic_fs_bookRg" w:cs="Arial"/>
          <w:color w:val="383735"/>
          <w:sz w:val="51"/>
          <w:szCs w:val="51"/>
          <w:lang w:val="en" w:eastAsia="en-GB"/>
        </w:rPr>
        <w:t>Schools and colleges</w:t>
      </w:r>
    </w:p>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All schools and colleges are encouraged to include information in the UCAS application reference explaining the qualification provision available to their students.</w:t>
      </w:r>
    </w:p>
    <w:p w:rsidR="00365928" w:rsidRPr="00365928" w:rsidRDefault="00365928" w:rsidP="00365928">
      <w:pPr>
        <w:spacing w:after="0" w:line="300" w:lineRule="atLeast"/>
        <w:rPr>
          <w:rFonts w:ascii="Arial" w:eastAsia="Times New Roman" w:hAnsi="Arial" w:cs="Arial"/>
          <w:color w:val="383735"/>
          <w:sz w:val="21"/>
          <w:szCs w:val="21"/>
          <w:lang w:val="en" w:eastAsia="en-GB"/>
        </w:rPr>
      </w:pPr>
      <w:hyperlink r:id="rId5" w:anchor="vocational_qualifications_1133949" w:history="1">
        <w:r w:rsidRPr="00365928">
          <w:rPr>
            <w:rFonts w:ascii="franklin_gothic_fs_medregular" w:eastAsia="Times New Roman" w:hAnsi="franklin_gothic_fs_medregular" w:cs="Times New Roman"/>
            <w:color w:val="045BC6"/>
            <w:sz w:val="30"/>
            <w:szCs w:val="30"/>
            <w:lang w:val="en" w:eastAsia="en-GB"/>
          </w:rPr>
          <w:t>Vocational Qualifications</w:t>
        </w:r>
      </w:hyperlink>
    </w:p>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We are aware of the changes to vocational qualifications and will consider applications from candidates taking both the unreformed and reformed qualifications.</w:t>
      </w:r>
    </w:p>
    <w:p w:rsidR="00365928" w:rsidRPr="00365928" w:rsidRDefault="00365928" w:rsidP="00365928">
      <w:pPr>
        <w:spacing w:after="0" w:line="300" w:lineRule="atLeast"/>
        <w:rPr>
          <w:rFonts w:ascii="Arial" w:eastAsia="Times New Roman" w:hAnsi="Arial" w:cs="Arial"/>
          <w:color w:val="383735"/>
          <w:sz w:val="21"/>
          <w:szCs w:val="21"/>
          <w:lang w:val="en" w:eastAsia="en-GB"/>
        </w:rPr>
      </w:pPr>
      <w:hyperlink r:id="rId6" w:anchor="gcses_680449" w:history="1">
        <w:r w:rsidRPr="00365928">
          <w:rPr>
            <w:rFonts w:ascii="franklin_gothic_fs_medregular" w:eastAsia="Times New Roman" w:hAnsi="franklin_gothic_fs_medregular" w:cs="Times New Roman"/>
            <w:color w:val="045BC6"/>
            <w:sz w:val="30"/>
            <w:szCs w:val="30"/>
            <w:lang w:val="en" w:eastAsia="en-GB"/>
          </w:rPr>
          <w:t>GCSEs</w:t>
        </w:r>
      </w:hyperlink>
    </w:p>
    <w:p w:rsidR="00365928" w:rsidRPr="00365928" w:rsidRDefault="00365928" w:rsidP="00365928">
      <w:pPr>
        <w:spacing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From 2017, GCSEs in England will be graded numerically on a scale of 1-9 with 9 being the highest level of achievement. Please refer to the below table for our position in term of equivalents.</w:t>
      </w:r>
    </w:p>
    <w:tbl>
      <w:tblPr>
        <w:tblW w:w="5000" w:type="pct"/>
        <w:tblCellMar>
          <w:top w:w="15" w:type="dxa"/>
          <w:left w:w="15" w:type="dxa"/>
          <w:bottom w:w="15" w:type="dxa"/>
          <w:right w:w="15" w:type="dxa"/>
        </w:tblCellMar>
        <w:tblLook w:val="04A0" w:firstRow="1" w:lastRow="0" w:firstColumn="1" w:lastColumn="0" w:noHBand="0" w:noVBand="1"/>
      </w:tblPr>
      <w:tblGrid>
        <w:gridCol w:w="4014"/>
        <w:gridCol w:w="5012"/>
      </w:tblGrid>
      <w:tr w:rsidR="00365928" w:rsidRPr="00365928" w:rsidTr="00365928">
        <w:trPr>
          <w:tblHeader/>
        </w:trPr>
        <w:tc>
          <w:tcPr>
            <w:tcW w:w="0" w:type="auto"/>
            <w:shd w:val="clear" w:color="auto" w:fill="auto"/>
            <w:vAlign w:val="center"/>
            <w:hideMark/>
          </w:tcPr>
          <w:p w:rsidR="00365928" w:rsidRPr="00365928" w:rsidRDefault="00365928" w:rsidP="00365928">
            <w:pPr>
              <w:spacing w:after="300" w:line="300" w:lineRule="atLeast"/>
              <w:jc w:val="center"/>
              <w:rPr>
                <w:rFonts w:ascii="Arial" w:eastAsia="Times New Roman" w:hAnsi="Arial" w:cs="Arial"/>
                <w:b/>
                <w:bCs/>
                <w:color w:val="383735"/>
                <w:sz w:val="21"/>
                <w:szCs w:val="21"/>
                <w:lang w:eastAsia="en-GB"/>
              </w:rPr>
            </w:pPr>
            <w:r w:rsidRPr="00365928">
              <w:rPr>
                <w:rFonts w:ascii="Arial" w:eastAsia="Times New Roman" w:hAnsi="Arial" w:cs="Arial"/>
                <w:b/>
                <w:bCs/>
                <w:color w:val="383735"/>
                <w:sz w:val="21"/>
                <w:szCs w:val="21"/>
                <w:lang w:eastAsia="en-GB"/>
              </w:rPr>
              <w:t>Current GCSE grading structure</w:t>
            </w:r>
          </w:p>
        </w:tc>
        <w:tc>
          <w:tcPr>
            <w:tcW w:w="0" w:type="auto"/>
            <w:shd w:val="clear" w:color="auto" w:fill="auto"/>
            <w:vAlign w:val="center"/>
            <w:hideMark/>
          </w:tcPr>
          <w:p w:rsidR="00365928" w:rsidRPr="00365928" w:rsidRDefault="00365928" w:rsidP="00365928">
            <w:pPr>
              <w:spacing w:after="300" w:line="300" w:lineRule="atLeast"/>
              <w:jc w:val="center"/>
              <w:rPr>
                <w:rFonts w:ascii="Arial" w:eastAsia="Times New Roman" w:hAnsi="Arial" w:cs="Arial"/>
                <w:b/>
                <w:bCs/>
                <w:color w:val="383735"/>
                <w:sz w:val="21"/>
                <w:szCs w:val="21"/>
                <w:lang w:eastAsia="en-GB"/>
              </w:rPr>
            </w:pPr>
            <w:r w:rsidRPr="00365928">
              <w:rPr>
                <w:rFonts w:ascii="Arial" w:eastAsia="Times New Roman" w:hAnsi="Arial" w:cs="Arial"/>
                <w:b/>
                <w:bCs/>
                <w:color w:val="383735"/>
                <w:sz w:val="21"/>
                <w:szCs w:val="21"/>
                <w:lang w:eastAsia="en-GB"/>
              </w:rPr>
              <w:t>New GCSE grading structure in England</w:t>
            </w:r>
          </w:p>
        </w:tc>
      </w:tr>
      <w:tr w:rsidR="00365928" w:rsidRPr="00365928" w:rsidTr="00365928">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A*</w:t>
            </w:r>
          </w:p>
        </w:tc>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 xml:space="preserve">9 </w:t>
            </w:r>
          </w:p>
        </w:tc>
      </w:tr>
      <w:tr w:rsidR="00365928" w:rsidRPr="00365928" w:rsidTr="00365928">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A</w:t>
            </w:r>
          </w:p>
        </w:tc>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8 and 7</w:t>
            </w:r>
          </w:p>
        </w:tc>
      </w:tr>
      <w:tr w:rsidR="00365928" w:rsidRPr="00365928" w:rsidTr="00365928">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B</w:t>
            </w:r>
          </w:p>
        </w:tc>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6</w:t>
            </w:r>
          </w:p>
        </w:tc>
      </w:tr>
      <w:tr w:rsidR="00365928" w:rsidRPr="00365928" w:rsidTr="00365928">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C</w:t>
            </w:r>
          </w:p>
        </w:tc>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5 and 4</w:t>
            </w:r>
          </w:p>
        </w:tc>
      </w:tr>
    </w:tbl>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In Wales, state schools will retain GCSEs with a graded structure (A*-G), but all students will study a new curriculum that will include two GCSEs in Mathematics, English (or Welsh) Language, Double Award Science and the National Welsh Baccalaureate.</w:t>
      </w:r>
    </w:p>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 xml:space="preserve">Students studying in Wales are also likely to be studying fewer subjects than their English counterparts and are likely to have fewer option subjects. We will ensure no group of students will be disadvantaged, and therefore the GCSE requirements will </w:t>
      </w:r>
      <w:proofErr w:type="spellStart"/>
      <w:r w:rsidRPr="00365928">
        <w:rPr>
          <w:rFonts w:ascii="Arial" w:eastAsia="Times New Roman" w:hAnsi="Arial" w:cs="Arial"/>
          <w:color w:val="383735"/>
          <w:sz w:val="21"/>
          <w:szCs w:val="21"/>
          <w:lang w:val="en" w:eastAsia="en-GB"/>
        </w:rPr>
        <w:t>recognise</w:t>
      </w:r>
      <w:proofErr w:type="spellEnd"/>
      <w:r w:rsidRPr="00365928">
        <w:rPr>
          <w:rFonts w:ascii="Arial" w:eastAsia="Times New Roman" w:hAnsi="Arial" w:cs="Arial"/>
          <w:color w:val="383735"/>
          <w:sz w:val="21"/>
          <w:szCs w:val="21"/>
          <w:lang w:val="en" w:eastAsia="en-GB"/>
        </w:rPr>
        <w:t xml:space="preserve"> the different curriculum and grading structures.</w:t>
      </w:r>
    </w:p>
    <w:p w:rsidR="00365928" w:rsidRPr="00365928" w:rsidRDefault="00365928" w:rsidP="00365928">
      <w:pPr>
        <w:spacing w:after="0" w:line="300" w:lineRule="atLeast"/>
        <w:rPr>
          <w:rFonts w:ascii="Arial" w:eastAsia="Times New Roman" w:hAnsi="Arial" w:cs="Arial"/>
          <w:color w:val="383735"/>
          <w:sz w:val="21"/>
          <w:szCs w:val="21"/>
          <w:lang w:val="en" w:eastAsia="en-GB"/>
        </w:rPr>
      </w:pPr>
      <w:hyperlink r:id="rId7" w:anchor="as_level_680510" w:history="1">
        <w:r w:rsidRPr="00365928">
          <w:rPr>
            <w:rFonts w:ascii="franklin_gothic_fs_medregular" w:eastAsia="Times New Roman" w:hAnsi="franklin_gothic_fs_medregular" w:cs="Times New Roman"/>
            <w:color w:val="045BC6"/>
            <w:sz w:val="30"/>
            <w:szCs w:val="30"/>
            <w:lang w:val="en" w:eastAsia="en-GB"/>
          </w:rPr>
          <w:t>AS-level/Extended Project Qualifications</w:t>
        </w:r>
      </w:hyperlink>
    </w:p>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lastRenderedPageBreak/>
        <w:t>We will not require applicants to study additional AS-levels or have Extended Project Qualifications as a condition of offer. Applicants not offering these qualifications will not be disadvantaged in the offer-making process.</w:t>
      </w:r>
    </w:p>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However, evidence of additional qualifications can be beneficial at confirmation for applicants who have narrowly missed the grades required in their offer.</w:t>
      </w:r>
    </w:p>
    <w:p w:rsidR="00365928" w:rsidRPr="00365928" w:rsidRDefault="00365928" w:rsidP="00365928">
      <w:pPr>
        <w:spacing w:after="0" w:line="300" w:lineRule="atLeast"/>
        <w:rPr>
          <w:rFonts w:ascii="Arial" w:eastAsia="Times New Roman" w:hAnsi="Arial" w:cs="Arial"/>
          <w:color w:val="383735"/>
          <w:sz w:val="21"/>
          <w:szCs w:val="21"/>
          <w:lang w:val="en" w:eastAsia="en-GB"/>
        </w:rPr>
      </w:pPr>
      <w:hyperlink r:id="rId8" w:anchor="a-level_680470" w:history="1">
        <w:r w:rsidRPr="00365928">
          <w:rPr>
            <w:rFonts w:ascii="franklin_gothic_fs_medregular" w:eastAsia="Times New Roman" w:hAnsi="franklin_gothic_fs_medregular" w:cs="Times New Roman"/>
            <w:color w:val="045BC6"/>
            <w:sz w:val="30"/>
            <w:szCs w:val="30"/>
            <w:lang w:val="en" w:eastAsia="en-GB"/>
          </w:rPr>
          <w:t>A-Level</w:t>
        </w:r>
      </w:hyperlink>
    </w:p>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Our offers will typically be based on grades achieved from three A-levels.</w:t>
      </w:r>
    </w:p>
    <w:p w:rsidR="00365928" w:rsidRPr="00365928" w:rsidRDefault="00365928" w:rsidP="00365928">
      <w:pPr>
        <w:spacing w:after="0" w:line="300" w:lineRule="atLeast"/>
        <w:rPr>
          <w:rFonts w:ascii="Arial" w:eastAsia="Times New Roman" w:hAnsi="Arial" w:cs="Arial"/>
          <w:color w:val="383735"/>
          <w:sz w:val="21"/>
          <w:szCs w:val="21"/>
          <w:lang w:val="en" w:eastAsia="en-GB"/>
        </w:rPr>
      </w:pPr>
      <w:hyperlink r:id="rId9" w:anchor="_science_practical_element__789234" w:history="1">
        <w:r w:rsidRPr="00365928">
          <w:rPr>
            <w:rFonts w:ascii="franklin_gothic_fs_medregular" w:eastAsia="Times New Roman" w:hAnsi="franklin_gothic_fs_medregular" w:cs="Times New Roman"/>
            <w:color w:val="045BC6"/>
            <w:sz w:val="30"/>
            <w:szCs w:val="30"/>
            <w:lang w:val="en" w:eastAsia="en-GB"/>
          </w:rPr>
          <w:t>Practical element in A-level Science subjects</w:t>
        </w:r>
      </w:hyperlink>
    </w:p>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b/>
          <w:bCs/>
          <w:color w:val="383735"/>
          <w:sz w:val="21"/>
          <w:szCs w:val="21"/>
          <w:lang w:val="en" w:eastAsia="en-GB"/>
        </w:rPr>
        <w:t>Practical element in Science A-levels</w:t>
      </w:r>
    </w:p>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Science A-levels in England (Biology, Chemistry and Physics) will include a separate result for the practical element of the qualification.</w:t>
      </w:r>
    </w:p>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A pass in the practical assessment of the relevant A-level subjects will be required for the following degree programmes:</w:t>
      </w:r>
    </w:p>
    <w:p w:rsidR="00365928" w:rsidRPr="00365928" w:rsidRDefault="00365928" w:rsidP="00365928">
      <w:pPr>
        <w:numPr>
          <w:ilvl w:val="0"/>
          <w:numId w:val="1"/>
        </w:numPr>
        <w:spacing w:before="100" w:beforeAutospacing="1" w:after="100" w:afterAutospacing="1" w:line="300" w:lineRule="atLeast"/>
        <w:ind w:left="75"/>
        <w:rPr>
          <w:rFonts w:ascii="Arial" w:eastAsia="Times New Roman" w:hAnsi="Arial" w:cs="Arial"/>
          <w:color w:val="383735"/>
          <w:sz w:val="21"/>
          <w:szCs w:val="21"/>
          <w:lang w:val="en" w:eastAsia="en-GB"/>
        </w:rPr>
      </w:pPr>
      <w:hyperlink r:id="rId10" w:history="1">
        <w:r w:rsidRPr="00365928">
          <w:rPr>
            <w:rFonts w:ascii="Arial" w:eastAsia="Times New Roman" w:hAnsi="Arial" w:cs="Times New Roman"/>
            <w:color w:val="045BC6"/>
            <w:sz w:val="21"/>
            <w:szCs w:val="21"/>
            <w:lang w:val="en" w:eastAsia="en-GB"/>
          </w:rPr>
          <w:t>Biosciences</w:t>
        </w:r>
      </w:hyperlink>
    </w:p>
    <w:p w:rsidR="00365928" w:rsidRPr="00365928" w:rsidRDefault="00365928" w:rsidP="00365928">
      <w:pPr>
        <w:numPr>
          <w:ilvl w:val="0"/>
          <w:numId w:val="1"/>
        </w:numPr>
        <w:spacing w:before="100" w:beforeAutospacing="1" w:after="100" w:afterAutospacing="1" w:line="300" w:lineRule="atLeast"/>
        <w:ind w:left="75"/>
        <w:rPr>
          <w:rFonts w:ascii="Arial" w:eastAsia="Times New Roman" w:hAnsi="Arial" w:cs="Arial"/>
          <w:color w:val="383735"/>
          <w:sz w:val="21"/>
          <w:szCs w:val="21"/>
          <w:lang w:val="en" w:eastAsia="en-GB"/>
        </w:rPr>
      </w:pPr>
      <w:hyperlink r:id="rId11" w:history="1">
        <w:r w:rsidRPr="00365928">
          <w:rPr>
            <w:rFonts w:ascii="Arial" w:eastAsia="Times New Roman" w:hAnsi="Arial" w:cs="Times New Roman"/>
            <w:color w:val="045BC6"/>
            <w:sz w:val="21"/>
            <w:szCs w:val="21"/>
            <w:lang w:val="en" w:eastAsia="en-GB"/>
          </w:rPr>
          <w:t>Chemistry</w:t>
        </w:r>
      </w:hyperlink>
    </w:p>
    <w:p w:rsidR="00365928" w:rsidRPr="00365928" w:rsidRDefault="00365928" w:rsidP="00365928">
      <w:pPr>
        <w:numPr>
          <w:ilvl w:val="0"/>
          <w:numId w:val="1"/>
        </w:numPr>
        <w:spacing w:before="100" w:beforeAutospacing="1" w:after="100" w:afterAutospacing="1" w:line="300" w:lineRule="atLeast"/>
        <w:ind w:left="75"/>
        <w:rPr>
          <w:rFonts w:ascii="Arial" w:eastAsia="Times New Roman" w:hAnsi="Arial" w:cs="Arial"/>
          <w:color w:val="383735"/>
          <w:sz w:val="21"/>
          <w:szCs w:val="21"/>
          <w:lang w:val="en" w:eastAsia="en-GB"/>
        </w:rPr>
      </w:pPr>
      <w:hyperlink r:id="rId12" w:history="1">
        <w:r w:rsidRPr="00365928">
          <w:rPr>
            <w:rFonts w:ascii="Arial" w:eastAsia="Times New Roman" w:hAnsi="Arial" w:cs="Times New Roman"/>
            <w:color w:val="045BC6"/>
            <w:sz w:val="21"/>
            <w:szCs w:val="21"/>
            <w:lang w:val="en" w:eastAsia="en-GB"/>
          </w:rPr>
          <w:t>Dentistry</w:t>
        </w:r>
      </w:hyperlink>
    </w:p>
    <w:p w:rsidR="00365928" w:rsidRPr="00365928" w:rsidRDefault="00365928" w:rsidP="00365928">
      <w:pPr>
        <w:numPr>
          <w:ilvl w:val="0"/>
          <w:numId w:val="1"/>
        </w:numPr>
        <w:spacing w:before="100" w:beforeAutospacing="1" w:after="100" w:afterAutospacing="1" w:line="300" w:lineRule="atLeast"/>
        <w:ind w:left="75"/>
        <w:rPr>
          <w:rFonts w:ascii="Arial" w:eastAsia="Times New Roman" w:hAnsi="Arial" w:cs="Arial"/>
          <w:color w:val="383735"/>
          <w:sz w:val="21"/>
          <w:szCs w:val="21"/>
          <w:lang w:val="en" w:eastAsia="en-GB"/>
        </w:rPr>
      </w:pPr>
      <w:hyperlink r:id="rId13" w:history="1">
        <w:r w:rsidRPr="00365928">
          <w:rPr>
            <w:rFonts w:ascii="Arial" w:eastAsia="Times New Roman" w:hAnsi="Arial" w:cs="Times New Roman"/>
            <w:color w:val="045BC6"/>
            <w:sz w:val="21"/>
            <w:szCs w:val="21"/>
            <w:lang w:val="en" w:eastAsia="en-GB"/>
          </w:rPr>
          <w:t>Engineering</w:t>
        </w:r>
      </w:hyperlink>
    </w:p>
    <w:p w:rsidR="00365928" w:rsidRPr="00365928" w:rsidRDefault="00365928" w:rsidP="00365928">
      <w:pPr>
        <w:numPr>
          <w:ilvl w:val="0"/>
          <w:numId w:val="1"/>
        </w:numPr>
        <w:spacing w:before="100" w:beforeAutospacing="1" w:after="100" w:afterAutospacing="1" w:line="300" w:lineRule="atLeast"/>
        <w:ind w:left="75"/>
        <w:rPr>
          <w:rFonts w:ascii="Arial" w:eastAsia="Times New Roman" w:hAnsi="Arial" w:cs="Arial"/>
          <w:color w:val="383735"/>
          <w:sz w:val="21"/>
          <w:szCs w:val="21"/>
          <w:lang w:val="en" w:eastAsia="en-GB"/>
        </w:rPr>
      </w:pPr>
      <w:hyperlink r:id="rId14" w:history="1">
        <w:r w:rsidRPr="00365928">
          <w:rPr>
            <w:rFonts w:ascii="Arial" w:eastAsia="Times New Roman" w:hAnsi="Arial" w:cs="Times New Roman"/>
            <w:color w:val="045BC6"/>
            <w:sz w:val="21"/>
            <w:szCs w:val="21"/>
            <w:lang w:val="en" w:eastAsia="en-GB"/>
          </w:rPr>
          <w:t>Medicine</w:t>
        </w:r>
      </w:hyperlink>
    </w:p>
    <w:p w:rsidR="00365928" w:rsidRPr="00365928" w:rsidRDefault="00365928" w:rsidP="00365928">
      <w:pPr>
        <w:numPr>
          <w:ilvl w:val="0"/>
          <w:numId w:val="1"/>
        </w:numPr>
        <w:spacing w:before="100" w:beforeAutospacing="1" w:after="100" w:afterAutospacing="1" w:line="300" w:lineRule="atLeast"/>
        <w:ind w:left="75"/>
        <w:rPr>
          <w:rFonts w:ascii="Arial" w:eastAsia="Times New Roman" w:hAnsi="Arial" w:cs="Arial"/>
          <w:color w:val="383735"/>
          <w:sz w:val="21"/>
          <w:szCs w:val="21"/>
          <w:lang w:val="en" w:eastAsia="en-GB"/>
        </w:rPr>
      </w:pPr>
      <w:hyperlink r:id="rId15" w:history="1">
        <w:r w:rsidRPr="00365928">
          <w:rPr>
            <w:rFonts w:ascii="Arial" w:eastAsia="Times New Roman" w:hAnsi="Arial" w:cs="Times New Roman"/>
            <w:color w:val="045BC6"/>
            <w:sz w:val="21"/>
            <w:szCs w:val="21"/>
            <w:lang w:val="en" w:eastAsia="en-GB"/>
          </w:rPr>
          <w:t>Physics</w:t>
        </w:r>
      </w:hyperlink>
    </w:p>
    <w:p w:rsidR="00365928" w:rsidRPr="00365928" w:rsidRDefault="00365928" w:rsidP="00365928">
      <w:pPr>
        <w:numPr>
          <w:ilvl w:val="0"/>
          <w:numId w:val="1"/>
        </w:numPr>
        <w:spacing w:before="100" w:beforeAutospacing="1" w:after="100" w:afterAutospacing="1" w:line="300" w:lineRule="atLeast"/>
        <w:ind w:left="75"/>
        <w:rPr>
          <w:rFonts w:ascii="Arial" w:eastAsia="Times New Roman" w:hAnsi="Arial" w:cs="Arial"/>
          <w:color w:val="383735"/>
          <w:sz w:val="21"/>
          <w:szCs w:val="21"/>
          <w:lang w:val="en" w:eastAsia="en-GB"/>
        </w:rPr>
      </w:pPr>
      <w:hyperlink r:id="rId16" w:history="1">
        <w:r w:rsidRPr="00365928">
          <w:rPr>
            <w:rFonts w:ascii="Arial" w:eastAsia="Times New Roman" w:hAnsi="Arial" w:cs="Times New Roman"/>
            <w:color w:val="045BC6"/>
            <w:sz w:val="21"/>
            <w:szCs w:val="21"/>
            <w:lang w:val="en" w:eastAsia="en-GB"/>
          </w:rPr>
          <w:t>Physiotherapy</w:t>
        </w:r>
      </w:hyperlink>
      <w:r w:rsidRPr="00365928">
        <w:rPr>
          <w:rFonts w:ascii="Arial" w:eastAsia="Times New Roman" w:hAnsi="Arial" w:cs="Arial"/>
          <w:color w:val="383735"/>
          <w:sz w:val="21"/>
          <w:szCs w:val="21"/>
          <w:lang w:val="en" w:eastAsia="en-GB"/>
        </w:rPr>
        <w:t>.</w:t>
      </w:r>
    </w:p>
    <w:p w:rsidR="00365928" w:rsidRPr="00365928" w:rsidRDefault="00365928" w:rsidP="00365928">
      <w:pPr>
        <w:spacing w:after="0" w:line="300" w:lineRule="atLeast"/>
        <w:rPr>
          <w:rFonts w:ascii="Arial" w:eastAsia="Times New Roman" w:hAnsi="Arial" w:cs="Arial"/>
          <w:color w:val="383735"/>
          <w:sz w:val="21"/>
          <w:szCs w:val="21"/>
          <w:lang w:val="en" w:eastAsia="en-GB"/>
        </w:rPr>
      </w:pPr>
      <w:hyperlink r:id="rId17" w:anchor="welsh_baccalaureate_680538" w:history="1">
        <w:r w:rsidRPr="00365928">
          <w:rPr>
            <w:rFonts w:ascii="franklin_gothic_fs_medregular" w:eastAsia="Times New Roman" w:hAnsi="franklin_gothic_fs_medregular" w:cs="Times New Roman"/>
            <w:color w:val="045BC6"/>
            <w:sz w:val="30"/>
            <w:szCs w:val="30"/>
            <w:lang w:val="en" w:eastAsia="en-GB"/>
          </w:rPr>
          <w:t>Welsh Baccalaureate</w:t>
        </w:r>
      </w:hyperlink>
    </w:p>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The WBQ core will be accepted as equivalent to an A-level for all degree programmes.</w:t>
      </w:r>
    </w:p>
    <w:p w:rsidR="00365928" w:rsidRPr="00365928" w:rsidRDefault="00365928" w:rsidP="00365928">
      <w:pPr>
        <w:spacing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For applicants offering graded versions of the core, we will accept:</w:t>
      </w:r>
    </w:p>
    <w:tbl>
      <w:tblPr>
        <w:tblW w:w="5000" w:type="pct"/>
        <w:tblCellMar>
          <w:top w:w="15" w:type="dxa"/>
          <w:left w:w="15" w:type="dxa"/>
          <w:bottom w:w="15" w:type="dxa"/>
          <w:right w:w="15" w:type="dxa"/>
        </w:tblCellMar>
        <w:tblLook w:val="04A0" w:firstRow="1" w:lastRow="0" w:firstColumn="1" w:lastColumn="0" w:noHBand="0" w:noVBand="1"/>
      </w:tblPr>
      <w:tblGrid>
        <w:gridCol w:w="2717"/>
        <w:gridCol w:w="6309"/>
      </w:tblGrid>
      <w:tr w:rsidR="00365928" w:rsidRPr="00365928" w:rsidTr="00365928">
        <w:trPr>
          <w:tblHeader/>
        </w:trPr>
        <w:tc>
          <w:tcPr>
            <w:tcW w:w="0" w:type="auto"/>
            <w:shd w:val="clear" w:color="auto" w:fill="auto"/>
            <w:vAlign w:val="center"/>
            <w:hideMark/>
          </w:tcPr>
          <w:p w:rsidR="00365928" w:rsidRPr="00365928" w:rsidRDefault="00365928" w:rsidP="00365928">
            <w:pPr>
              <w:spacing w:after="300" w:line="300" w:lineRule="atLeast"/>
              <w:jc w:val="center"/>
              <w:rPr>
                <w:rFonts w:ascii="Arial" w:eastAsia="Times New Roman" w:hAnsi="Arial" w:cs="Arial"/>
                <w:b/>
                <w:bCs/>
                <w:color w:val="383735"/>
                <w:sz w:val="21"/>
                <w:szCs w:val="21"/>
                <w:lang w:eastAsia="en-GB"/>
              </w:rPr>
            </w:pPr>
            <w:r w:rsidRPr="00365928">
              <w:rPr>
                <w:rFonts w:ascii="Arial" w:eastAsia="Times New Roman" w:hAnsi="Arial" w:cs="Arial"/>
                <w:b/>
                <w:bCs/>
                <w:color w:val="383735"/>
                <w:sz w:val="21"/>
                <w:szCs w:val="21"/>
                <w:lang w:eastAsia="en-GB"/>
              </w:rPr>
              <w:t>WBQ grade</w:t>
            </w:r>
          </w:p>
        </w:tc>
        <w:tc>
          <w:tcPr>
            <w:tcW w:w="0" w:type="auto"/>
            <w:shd w:val="clear" w:color="auto" w:fill="auto"/>
            <w:vAlign w:val="center"/>
            <w:hideMark/>
          </w:tcPr>
          <w:p w:rsidR="00365928" w:rsidRPr="00365928" w:rsidRDefault="00365928" w:rsidP="00365928">
            <w:pPr>
              <w:spacing w:after="300" w:line="300" w:lineRule="atLeast"/>
              <w:jc w:val="center"/>
              <w:rPr>
                <w:rFonts w:ascii="Arial" w:eastAsia="Times New Roman" w:hAnsi="Arial" w:cs="Arial"/>
                <w:b/>
                <w:bCs/>
                <w:color w:val="383735"/>
                <w:sz w:val="21"/>
                <w:szCs w:val="21"/>
                <w:lang w:eastAsia="en-GB"/>
              </w:rPr>
            </w:pPr>
            <w:r w:rsidRPr="00365928">
              <w:rPr>
                <w:rFonts w:ascii="Arial" w:eastAsia="Times New Roman" w:hAnsi="Arial" w:cs="Arial"/>
                <w:b/>
                <w:bCs/>
                <w:color w:val="383735"/>
                <w:sz w:val="21"/>
                <w:szCs w:val="21"/>
                <w:lang w:eastAsia="en-GB"/>
              </w:rPr>
              <w:t>Equivalent to A-level grade</w:t>
            </w:r>
          </w:p>
        </w:tc>
      </w:tr>
      <w:tr w:rsidR="00365928" w:rsidRPr="00365928" w:rsidTr="00365928">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A*</w:t>
            </w:r>
          </w:p>
        </w:tc>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A*</w:t>
            </w:r>
          </w:p>
        </w:tc>
      </w:tr>
      <w:tr w:rsidR="00365928" w:rsidRPr="00365928" w:rsidTr="00365928">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A</w:t>
            </w:r>
          </w:p>
        </w:tc>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A</w:t>
            </w:r>
          </w:p>
        </w:tc>
      </w:tr>
      <w:tr w:rsidR="00365928" w:rsidRPr="00365928" w:rsidTr="00365928">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B</w:t>
            </w:r>
          </w:p>
        </w:tc>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B</w:t>
            </w:r>
          </w:p>
        </w:tc>
      </w:tr>
      <w:tr w:rsidR="00365928" w:rsidRPr="00365928" w:rsidTr="00365928">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C</w:t>
            </w:r>
          </w:p>
        </w:tc>
        <w:tc>
          <w:tcPr>
            <w:tcW w:w="0" w:type="auto"/>
            <w:shd w:val="clear" w:color="auto" w:fill="auto"/>
            <w:vAlign w:val="center"/>
            <w:hideMark/>
          </w:tcPr>
          <w:p w:rsidR="00365928" w:rsidRPr="00365928" w:rsidRDefault="00365928" w:rsidP="00365928">
            <w:pPr>
              <w:spacing w:after="300" w:line="300" w:lineRule="atLeast"/>
              <w:rPr>
                <w:rFonts w:ascii="Arial" w:eastAsia="Times New Roman" w:hAnsi="Arial" w:cs="Arial"/>
                <w:color w:val="383735"/>
                <w:sz w:val="21"/>
                <w:szCs w:val="21"/>
                <w:lang w:eastAsia="en-GB"/>
              </w:rPr>
            </w:pPr>
            <w:r w:rsidRPr="00365928">
              <w:rPr>
                <w:rFonts w:ascii="Arial" w:eastAsia="Times New Roman" w:hAnsi="Arial" w:cs="Arial"/>
                <w:color w:val="383735"/>
                <w:sz w:val="21"/>
                <w:szCs w:val="21"/>
                <w:lang w:eastAsia="en-GB"/>
              </w:rPr>
              <w:t>C</w:t>
            </w:r>
          </w:p>
        </w:tc>
      </w:tr>
    </w:tbl>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The WBQ core cannot replace a required specified subject or subjects.</w:t>
      </w:r>
    </w:p>
    <w:p w:rsidR="00365928" w:rsidRPr="00365928" w:rsidRDefault="00365928" w:rsidP="00365928">
      <w:pPr>
        <w:spacing w:after="0" w:line="300" w:lineRule="atLeast"/>
        <w:rPr>
          <w:rFonts w:ascii="Arial" w:eastAsia="Times New Roman" w:hAnsi="Arial" w:cs="Arial"/>
          <w:color w:val="383735"/>
          <w:sz w:val="21"/>
          <w:szCs w:val="21"/>
          <w:lang w:val="en" w:eastAsia="en-GB"/>
        </w:rPr>
      </w:pPr>
      <w:hyperlink r:id="rId18" w:anchor="core_maths_680534" w:history="1">
        <w:r w:rsidRPr="00365928">
          <w:rPr>
            <w:rFonts w:ascii="franklin_gothic_fs_medregular" w:eastAsia="Times New Roman" w:hAnsi="franklin_gothic_fs_medregular" w:cs="Times New Roman"/>
            <w:color w:val="045BC6"/>
            <w:sz w:val="30"/>
            <w:szCs w:val="30"/>
            <w:lang w:val="en" w:eastAsia="en-GB"/>
          </w:rPr>
          <w:t>Core Maths</w:t>
        </w:r>
      </w:hyperlink>
    </w:p>
    <w:p w:rsidR="00365928" w:rsidRPr="00365928" w:rsidRDefault="00365928" w:rsidP="00365928">
      <w:pPr>
        <w:spacing w:after="150" w:line="300" w:lineRule="atLeast"/>
        <w:jc w:val="both"/>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 xml:space="preserve">We </w:t>
      </w:r>
      <w:proofErr w:type="spellStart"/>
      <w:r w:rsidRPr="00365928">
        <w:rPr>
          <w:rFonts w:ascii="Arial" w:eastAsia="Times New Roman" w:hAnsi="Arial" w:cs="Arial"/>
          <w:color w:val="383735"/>
          <w:sz w:val="21"/>
          <w:szCs w:val="21"/>
          <w:lang w:val="en" w:eastAsia="en-GB"/>
        </w:rPr>
        <w:t>recognise</w:t>
      </w:r>
      <w:proofErr w:type="spellEnd"/>
      <w:r w:rsidRPr="00365928">
        <w:rPr>
          <w:rFonts w:ascii="Arial" w:eastAsia="Times New Roman" w:hAnsi="Arial" w:cs="Arial"/>
          <w:color w:val="383735"/>
          <w:sz w:val="21"/>
          <w:szCs w:val="21"/>
          <w:lang w:val="en" w:eastAsia="en-GB"/>
        </w:rPr>
        <w:t xml:space="preserve"> the benefits of the Core Mathematics qualification, particularly in helping students to use and develop mathematical modelling and problem solving skills, which are key not only to University study but to employers.</w:t>
      </w:r>
    </w:p>
    <w:p w:rsidR="00365928" w:rsidRPr="00365928" w:rsidRDefault="00365928" w:rsidP="00365928">
      <w:pPr>
        <w:spacing w:after="150"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lastRenderedPageBreak/>
        <w:t>Whilst Core Mathematics is not a requirement for entry, it may be considered in lieu of a GCSE in Mathematics at grade B or above, but will not be accepted in lieu of an AS or A-Level in Mathematics where this is required.</w:t>
      </w:r>
    </w:p>
    <w:p w:rsidR="00365928" w:rsidRPr="00365928" w:rsidRDefault="00365928" w:rsidP="00365928">
      <w:pPr>
        <w:spacing w:line="300" w:lineRule="atLeast"/>
        <w:rPr>
          <w:rFonts w:ascii="Arial" w:eastAsia="Times New Roman" w:hAnsi="Arial" w:cs="Arial"/>
          <w:color w:val="383735"/>
          <w:sz w:val="21"/>
          <w:szCs w:val="21"/>
          <w:lang w:val="en" w:eastAsia="en-GB"/>
        </w:rPr>
      </w:pPr>
      <w:r w:rsidRPr="00365928">
        <w:rPr>
          <w:rFonts w:ascii="Arial" w:eastAsia="Times New Roman" w:hAnsi="Arial" w:cs="Arial"/>
          <w:color w:val="383735"/>
          <w:sz w:val="21"/>
          <w:szCs w:val="21"/>
          <w:lang w:val="en" w:eastAsia="en-GB"/>
        </w:rPr>
        <w:t>Please note that, for our Medicine programmes, Core Maths is currently under review and is not guaranteed to be accepted in lieu of the GCSE Mathematics requirement.</w:t>
      </w:r>
    </w:p>
    <w:p w:rsidR="00615075" w:rsidRPr="00365928" w:rsidRDefault="00365928">
      <w:pPr>
        <w:rPr>
          <w:lang w:val="en"/>
        </w:rPr>
      </w:pPr>
      <w:bookmarkStart w:id="0" w:name="_GoBack"/>
      <w:bookmarkEnd w:id="0"/>
    </w:p>
    <w:sectPr w:rsidR="00615075" w:rsidRPr="00365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_gothic_fs_bookRg">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_gothic_fs_med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07F18"/>
    <w:multiLevelType w:val="multilevel"/>
    <w:tmpl w:val="1CE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28"/>
    <w:rsid w:val="000A479A"/>
    <w:rsid w:val="00365928"/>
    <w:rsid w:val="006232D6"/>
    <w:rsid w:val="007D2B78"/>
    <w:rsid w:val="00B74B54"/>
    <w:rsid w:val="00DD1B76"/>
    <w:rsid w:val="00FC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3FA23-D43A-42CE-BE33-34828CED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5928"/>
    <w:pPr>
      <w:spacing w:before="150" w:after="150" w:line="750" w:lineRule="atLeast"/>
      <w:outlineLvl w:val="0"/>
    </w:pPr>
    <w:rPr>
      <w:rFonts w:ascii="franklin_gothic_fs_bookRg" w:eastAsia="Times New Roman" w:hAnsi="franklin_gothic_fs_bookRg" w:cs="Arial"/>
      <w:color w:val="383735"/>
      <w:kern w:val="36"/>
      <w:sz w:val="66"/>
      <w:szCs w:val="66"/>
      <w:lang w:eastAsia="en-GB"/>
    </w:rPr>
  </w:style>
  <w:style w:type="paragraph" w:styleId="Heading2">
    <w:name w:val="heading 2"/>
    <w:basedOn w:val="Normal"/>
    <w:link w:val="Heading2Char"/>
    <w:uiPriority w:val="9"/>
    <w:qFormat/>
    <w:rsid w:val="00365928"/>
    <w:pPr>
      <w:spacing w:before="150" w:after="150" w:line="600" w:lineRule="atLeast"/>
      <w:outlineLvl w:val="1"/>
    </w:pPr>
    <w:rPr>
      <w:rFonts w:ascii="franklin_gothic_fs_bookRg" w:eastAsia="Times New Roman" w:hAnsi="franklin_gothic_fs_bookRg" w:cs="Arial"/>
      <w:color w:val="383735"/>
      <w:sz w:val="51"/>
      <w:szCs w:val="5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928"/>
    <w:rPr>
      <w:rFonts w:ascii="franklin_gothic_fs_bookRg" w:eastAsia="Times New Roman" w:hAnsi="franklin_gothic_fs_bookRg" w:cs="Arial"/>
      <w:color w:val="383735"/>
      <w:kern w:val="36"/>
      <w:sz w:val="66"/>
      <w:szCs w:val="66"/>
      <w:lang w:eastAsia="en-GB"/>
    </w:rPr>
  </w:style>
  <w:style w:type="character" w:customStyle="1" w:styleId="Heading2Char">
    <w:name w:val="Heading 2 Char"/>
    <w:basedOn w:val="DefaultParagraphFont"/>
    <w:link w:val="Heading2"/>
    <w:uiPriority w:val="9"/>
    <w:rsid w:val="00365928"/>
    <w:rPr>
      <w:rFonts w:ascii="franklin_gothic_fs_bookRg" w:eastAsia="Times New Roman" w:hAnsi="franklin_gothic_fs_bookRg" w:cs="Arial"/>
      <w:color w:val="383735"/>
      <w:sz w:val="51"/>
      <w:szCs w:val="51"/>
      <w:lang w:eastAsia="en-GB"/>
    </w:rPr>
  </w:style>
  <w:style w:type="character" w:styleId="Hyperlink">
    <w:name w:val="Hyperlink"/>
    <w:basedOn w:val="DefaultParagraphFont"/>
    <w:uiPriority w:val="99"/>
    <w:semiHidden/>
    <w:unhideWhenUsed/>
    <w:rsid w:val="00365928"/>
    <w:rPr>
      <w:strike w:val="0"/>
      <w:dstrike w:val="0"/>
      <w:color w:val="045BC6"/>
      <w:u w:val="none"/>
      <w:effect w:val="none"/>
    </w:rPr>
  </w:style>
  <w:style w:type="character" w:styleId="Strong">
    <w:name w:val="Strong"/>
    <w:basedOn w:val="DefaultParagraphFont"/>
    <w:uiPriority w:val="22"/>
    <w:qFormat/>
    <w:rsid w:val="00365928"/>
    <w:rPr>
      <w:b/>
      <w:bCs/>
    </w:rPr>
  </w:style>
  <w:style w:type="paragraph" w:styleId="NormalWeb">
    <w:name w:val="Normal (Web)"/>
    <w:basedOn w:val="Normal"/>
    <w:uiPriority w:val="99"/>
    <w:semiHidden/>
    <w:unhideWhenUsed/>
    <w:rsid w:val="00365928"/>
    <w:pPr>
      <w:spacing w:after="150"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365928"/>
    <w:pPr>
      <w:spacing w:after="300" w:line="360" w:lineRule="atLeast"/>
    </w:pPr>
    <w:rPr>
      <w:rFonts w:ascii="Georgia" w:eastAsia="Times New Roman" w:hAnsi="Georgia" w:cs="Times New Roman"/>
      <w:i/>
      <w:iCs/>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055">
      <w:bodyDiv w:val="1"/>
      <w:marLeft w:val="0"/>
      <w:marRight w:val="0"/>
      <w:marTop w:val="0"/>
      <w:marBottom w:val="0"/>
      <w:divBdr>
        <w:top w:val="none" w:sz="0" w:space="0" w:color="auto"/>
        <w:left w:val="none" w:sz="0" w:space="0" w:color="auto"/>
        <w:bottom w:val="none" w:sz="0" w:space="0" w:color="auto"/>
        <w:right w:val="none" w:sz="0" w:space="0" w:color="auto"/>
      </w:divBdr>
      <w:divsChild>
        <w:div w:id="1989358656">
          <w:marLeft w:val="0"/>
          <w:marRight w:val="0"/>
          <w:marTop w:val="0"/>
          <w:marBottom w:val="0"/>
          <w:divBdr>
            <w:top w:val="none" w:sz="0" w:space="0" w:color="auto"/>
            <w:left w:val="none" w:sz="0" w:space="0" w:color="auto"/>
            <w:bottom w:val="none" w:sz="0" w:space="0" w:color="auto"/>
            <w:right w:val="none" w:sz="0" w:space="0" w:color="auto"/>
          </w:divBdr>
          <w:divsChild>
            <w:div w:id="1521814712">
              <w:marLeft w:val="0"/>
              <w:marRight w:val="0"/>
              <w:marTop w:val="0"/>
              <w:marBottom w:val="0"/>
              <w:divBdr>
                <w:top w:val="none" w:sz="0" w:space="0" w:color="auto"/>
                <w:left w:val="none" w:sz="0" w:space="0" w:color="auto"/>
                <w:bottom w:val="none" w:sz="0" w:space="0" w:color="auto"/>
                <w:right w:val="none" w:sz="0" w:space="0" w:color="auto"/>
              </w:divBdr>
              <w:divsChild>
                <w:div w:id="1167089720">
                  <w:marLeft w:val="-300"/>
                  <w:marRight w:val="0"/>
                  <w:marTop w:val="0"/>
                  <w:marBottom w:val="0"/>
                  <w:divBdr>
                    <w:top w:val="none" w:sz="0" w:space="0" w:color="auto"/>
                    <w:left w:val="none" w:sz="0" w:space="0" w:color="auto"/>
                    <w:bottom w:val="none" w:sz="0" w:space="0" w:color="auto"/>
                    <w:right w:val="none" w:sz="0" w:space="0" w:color="auto"/>
                  </w:divBdr>
                  <w:divsChild>
                    <w:div w:id="1546989063">
                      <w:marLeft w:val="0"/>
                      <w:marRight w:val="0"/>
                      <w:marTop w:val="0"/>
                      <w:marBottom w:val="0"/>
                      <w:divBdr>
                        <w:top w:val="none" w:sz="0" w:space="0" w:color="auto"/>
                        <w:left w:val="none" w:sz="0" w:space="0" w:color="auto"/>
                        <w:bottom w:val="none" w:sz="0" w:space="0" w:color="auto"/>
                        <w:right w:val="none" w:sz="0" w:space="0" w:color="auto"/>
                      </w:divBdr>
                      <w:divsChild>
                        <w:div w:id="724989440">
                          <w:marLeft w:val="0"/>
                          <w:marRight w:val="0"/>
                          <w:marTop w:val="0"/>
                          <w:marBottom w:val="0"/>
                          <w:divBdr>
                            <w:top w:val="none" w:sz="0" w:space="0" w:color="auto"/>
                            <w:left w:val="none" w:sz="0" w:space="0" w:color="auto"/>
                            <w:bottom w:val="none" w:sz="0" w:space="0" w:color="auto"/>
                            <w:right w:val="none" w:sz="0" w:space="0" w:color="auto"/>
                          </w:divBdr>
                        </w:div>
                        <w:div w:id="860896810">
                          <w:marLeft w:val="0"/>
                          <w:marRight w:val="0"/>
                          <w:marTop w:val="0"/>
                          <w:marBottom w:val="300"/>
                          <w:divBdr>
                            <w:top w:val="none" w:sz="0" w:space="0" w:color="auto"/>
                            <w:left w:val="none" w:sz="0" w:space="0" w:color="auto"/>
                            <w:bottom w:val="none" w:sz="0" w:space="0" w:color="auto"/>
                            <w:right w:val="none" w:sz="0" w:space="0" w:color="auto"/>
                          </w:divBdr>
                          <w:divsChild>
                            <w:div w:id="812529771">
                              <w:marLeft w:val="0"/>
                              <w:marRight w:val="0"/>
                              <w:marTop w:val="0"/>
                              <w:marBottom w:val="30"/>
                              <w:divBdr>
                                <w:top w:val="none" w:sz="0" w:space="0" w:color="auto"/>
                                <w:left w:val="none" w:sz="0" w:space="0" w:color="auto"/>
                                <w:bottom w:val="single" w:sz="12" w:space="0" w:color="E9E9E9"/>
                                <w:right w:val="none" w:sz="0" w:space="0" w:color="auto"/>
                              </w:divBdr>
                              <w:divsChild>
                                <w:div w:id="256254278">
                                  <w:marLeft w:val="0"/>
                                  <w:marRight w:val="0"/>
                                  <w:marTop w:val="0"/>
                                  <w:marBottom w:val="0"/>
                                  <w:divBdr>
                                    <w:top w:val="none" w:sz="0" w:space="0" w:color="auto"/>
                                    <w:left w:val="none" w:sz="0" w:space="0" w:color="auto"/>
                                    <w:bottom w:val="none" w:sz="0" w:space="0" w:color="auto"/>
                                    <w:right w:val="none" w:sz="0" w:space="0" w:color="auto"/>
                                  </w:divBdr>
                                </w:div>
                                <w:div w:id="2015497959">
                                  <w:marLeft w:val="0"/>
                                  <w:marRight w:val="0"/>
                                  <w:marTop w:val="0"/>
                                  <w:marBottom w:val="0"/>
                                  <w:divBdr>
                                    <w:top w:val="none" w:sz="0" w:space="0" w:color="auto"/>
                                    <w:left w:val="none" w:sz="0" w:space="0" w:color="auto"/>
                                    <w:bottom w:val="none" w:sz="0" w:space="0" w:color="auto"/>
                                    <w:right w:val="none" w:sz="0" w:space="0" w:color="auto"/>
                                  </w:divBdr>
                                  <w:divsChild>
                                    <w:div w:id="2046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2107">
                              <w:marLeft w:val="0"/>
                              <w:marRight w:val="0"/>
                              <w:marTop w:val="0"/>
                              <w:marBottom w:val="30"/>
                              <w:divBdr>
                                <w:top w:val="none" w:sz="0" w:space="0" w:color="auto"/>
                                <w:left w:val="none" w:sz="0" w:space="0" w:color="auto"/>
                                <w:bottom w:val="single" w:sz="12" w:space="0" w:color="E9E9E9"/>
                                <w:right w:val="none" w:sz="0" w:space="0" w:color="auto"/>
                              </w:divBdr>
                              <w:divsChild>
                                <w:div w:id="74056570">
                                  <w:marLeft w:val="0"/>
                                  <w:marRight w:val="0"/>
                                  <w:marTop w:val="0"/>
                                  <w:marBottom w:val="0"/>
                                  <w:divBdr>
                                    <w:top w:val="none" w:sz="0" w:space="0" w:color="auto"/>
                                    <w:left w:val="none" w:sz="0" w:space="0" w:color="auto"/>
                                    <w:bottom w:val="none" w:sz="0" w:space="0" w:color="auto"/>
                                    <w:right w:val="none" w:sz="0" w:space="0" w:color="auto"/>
                                  </w:divBdr>
                                </w:div>
                                <w:div w:id="2113932206">
                                  <w:marLeft w:val="0"/>
                                  <w:marRight w:val="0"/>
                                  <w:marTop w:val="0"/>
                                  <w:marBottom w:val="0"/>
                                  <w:divBdr>
                                    <w:top w:val="none" w:sz="0" w:space="0" w:color="auto"/>
                                    <w:left w:val="none" w:sz="0" w:space="0" w:color="auto"/>
                                    <w:bottom w:val="none" w:sz="0" w:space="0" w:color="auto"/>
                                    <w:right w:val="none" w:sz="0" w:space="0" w:color="auto"/>
                                  </w:divBdr>
                                  <w:divsChild>
                                    <w:div w:id="10188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045">
                              <w:marLeft w:val="0"/>
                              <w:marRight w:val="0"/>
                              <w:marTop w:val="0"/>
                              <w:marBottom w:val="30"/>
                              <w:divBdr>
                                <w:top w:val="none" w:sz="0" w:space="0" w:color="auto"/>
                                <w:left w:val="none" w:sz="0" w:space="0" w:color="auto"/>
                                <w:bottom w:val="single" w:sz="12" w:space="0" w:color="E9E9E9"/>
                                <w:right w:val="none" w:sz="0" w:space="0" w:color="auto"/>
                              </w:divBdr>
                              <w:divsChild>
                                <w:div w:id="1441215771">
                                  <w:marLeft w:val="0"/>
                                  <w:marRight w:val="0"/>
                                  <w:marTop w:val="0"/>
                                  <w:marBottom w:val="0"/>
                                  <w:divBdr>
                                    <w:top w:val="none" w:sz="0" w:space="0" w:color="auto"/>
                                    <w:left w:val="none" w:sz="0" w:space="0" w:color="auto"/>
                                    <w:bottom w:val="none" w:sz="0" w:space="0" w:color="auto"/>
                                    <w:right w:val="none" w:sz="0" w:space="0" w:color="auto"/>
                                  </w:divBdr>
                                </w:div>
                                <w:div w:id="1692418840">
                                  <w:marLeft w:val="0"/>
                                  <w:marRight w:val="0"/>
                                  <w:marTop w:val="0"/>
                                  <w:marBottom w:val="0"/>
                                  <w:divBdr>
                                    <w:top w:val="none" w:sz="0" w:space="0" w:color="auto"/>
                                    <w:left w:val="none" w:sz="0" w:space="0" w:color="auto"/>
                                    <w:bottom w:val="none" w:sz="0" w:space="0" w:color="auto"/>
                                    <w:right w:val="none" w:sz="0" w:space="0" w:color="auto"/>
                                  </w:divBdr>
                                  <w:divsChild>
                                    <w:div w:id="19680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5811">
                              <w:marLeft w:val="0"/>
                              <w:marRight w:val="0"/>
                              <w:marTop w:val="0"/>
                              <w:marBottom w:val="30"/>
                              <w:divBdr>
                                <w:top w:val="none" w:sz="0" w:space="0" w:color="auto"/>
                                <w:left w:val="none" w:sz="0" w:space="0" w:color="auto"/>
                                <w:bottom w:val="single" w:sz="12" w:space="0" w:color="E9E9E9"/>
                                <w:right w:val="none" w:sz="0" w:space="0" w:color="auto"/>
                              </w:divBdr>
                              <w:divsChild>
                                <w:div w:id="1483691734">
                                  <w:marLeft w:val="0"/>
                                  <w:marRight w:val="0"/>
                                  <w:marTop w:val="0"/>
                                  <w:marBottom w:val="0"/>
                                  <w:divBdr>
                                    <w:top w:val="none" w:sz="0" w:space="0" w:color="auto"/>
                                    <w:left w:val="none" w:sz="0" w:space="0" w:color="auto"/>
                                    <w:bottom w:val="none" w:sz="0" w:space="0" w:color="auto"/>
                                    <w:right w:val="none" w:sz="0" w:space="0" w:color="auto"/>
                                  </w:divBdr>
                                </w:div>
                                <w:div w:id="1798643481">
                                  <w:marLeft w:val="0"/>
                                  <w:marRight w:val="0"/>
                                  <w:marTop w:val="0"/>
                                  <w:marBottom w:val="0"/>
                                  <w:divBdr>
                                    <w:top w:val="none" w:sz="0" w:space="0" w:color="auto"/>
                                    <w:left w:val="none" w:sz="0" w:space="0" w:color="auto"/>
                                    <w:bottom w:val="none" w:sz="0" w:space="0" w:color="auto"/>
                                    <w:right w:val="none" w:sz="0" w:space="0" w:color="auto"/>
                                  </w:divBdr>
                                  <w:divsChild>
                                    <w:div w:id="17341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6933">
                              <w:marLeft w:val="0"/>
                              <w:marRight w:val="0"/>
                              <w:marTop w:val="0"/>
                              <w:marBottom w:val="30"/>
                              <w:divBdr>
                                <w:top w:val="none" w:sz="0" w:space="0" w:color="auto"/>
                                <w:left w:val="none" w:sz="0" w:space="0" w:color="auto"/>
                                <w:bottom w:val="single" w:sz="12" w:space="0" w:color="E9E9E9"/>
                                <w:right w:val="none" w:sz="0" w:space="0" w:color="auto"/>
                              </w:divBdr>
                              <w:divsChild>
                                <w:div w:id="35474940">
                                  <w:marLeft w:val="0"/>
                                  <w:marRight w:val="0"/>
                                  <w:marTop w:val="0"/>
                                  <w:marBottom w:val="0"/>
                                  <w:divBdr>
                                    <w:top w:val="none" w:sz="0" w:space="0" w:color="auto"/>
                                    <w:left w:val="none" w:sz="0" w:space="0" w:color="auto"/>
                                    <w:bottom w:val="none" w:sz="0" w:space="0" w:color="auto"/>
                                    <w:right w:val="none" w:sz="0" w:space="0" w:color="auto"/>
                                  </w:divBdr>
                                </w:div>
                                <w:div w:id="412045327">
                                  <w:marLeft w:val="0"/>
                                  <w:marRight w:val="0"/>
                                  <w:marTop w:val="0"/>
                                  <w:marBottom w:val="0"/>
                                  <w:divBdr>
                                    <w:top w:val="none" w:sz="0" w:space="0" w:color="auto"/>
                                    <w:left w:val="none" w:sz="0" w:space="0" w:color="auto"/>
                                    <w:bottom w:val="none" w:sz="0" w:space="0" w:color="auto"/>
                                    <w:right w:val="none" w:sz="0" w:space="0" w:color="auto"/>
                                  </w:divBdr>
                                  <w:divsChild>
                                    <w:div w:id="1428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2365">
                              <w:marLeft w:val="0"/>
                              <w:marRight w:val="0"/>
                              <w:marTop w:val="0"/>
                              <w:marBottom w:val="30"/>
                              <w:divBdr>
                                <w:top w:val="none" w:sz="0" w:space="0" w:color="auto"/>
                                <w:left w:val="none" w:sz="0" w:space="0" w:color="auto"/>
                                <w:bottom w:val="single" w:sz="12" w:space="0" w:color="E9E9E9"/>
                                <w:right w:val="none" w:sz="0" w:space="0" w:color="auto"/>
                              </w:divBdr>
                              <w:divsChild>
                                <w:div w:id="2138258194">
                                  <w:marLeft w:val="0"/>
                                  <w:marRight w:val="0"/>
                                  <w:marTop w:val="0"/>
                                  <w:marBottom w:val="0"/>
                                  <w:divBdr>
                                    <w:top w:val="none" w:sz="0" w:space="0" w:color="auto"/>
                                    <w:left w:val="none" w:sz="0" w:space="0" w:color="auto"/>
                                    <w:bottom w:val="none" w:sz="0" w:space="0" w:color="auto"/>
                                    <w:right w:val="none" w:sz="0" w:space="0" w:color="auto"/>
                                  </w:divBdr>
                                </w:div>
                                <w:div w:id="1369984948">
                                  <w:marLeft w:val="0"/>
                                  <w:marRight w:val="0"/>
                                  <w:marTop w:val="0"/>
                                  <w:marBottom w:val="0"/>
                                  <w:divBdr>
                                    <w:top w:val="none" w:sz="0" w:space="0" w:color="auto"/>
                                    <w:left w:val="none" w:sz="0" w:space="0" w:color="auto"/>
                                    <w:bottom w:val="none" w:sz="0" w:space="0" w:color="auto"/>
                                    <w:right w:val="none" w:sz="0" w:space="0" w:color="auto"/>
                                  </w:divBdr>
                                  <w:divsChild>
                                    <w:div w:id="11911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9545">
                              <w:marLeft w:val="0"/>
                              <w:marRight w:val="0"/>
                              <w:marTop w:val="0"/>
                              <w:marBottom w:val="30"/>
                              <w:divBdr>
                                <w:top w:val="none" w:sz="0" w:space="0" w:color="auto"/>
                                <w:left w:val="none" w:sz="0" w:space="0" w:color="auto"/>
                                <w:bottom w:val="single" w:sz="12" w:space="0" w:color="E9E9E9"/>
                                <w:right w:val="none" w:sz="0" w:space="0" w:color="auto"/>
                              </w:divBdr>
                              <w:divsChild>
                                <w:div w:id="1430546681">
                                  <w:marLeft w:val="0"/>
                                  <w:marRight w:val="0"/>
                                  <w:marTop w:val="0"/>
                                  <w:marBottom w:val="0"/>
                                  <w:divBdr>
                                    <w:top w:val="none" w:sz="0" w:space="0" w:color="auto"/>
                                    <w:left w:val="none" w:sz="0" w:space="0" w:color="auto"/>
                                    <w:bottom w:val="none" w:sz="0" w:space="0" w:color="auto"/>
                                    <w:right w:val="none" w:sz="0" w:space="0" w:color="auto"/>
                                  </w:divBdr>
                                </w:div>
                                <w:div w:id="815226374">
                                  <w:marLeft w:val="0"/>
                                  <w:marRight w:val="0"/>
                                  <w:marTop w:val="0"/>
                                  <w:marBottom w:val="0"/>
                                  <w:divBdr>
                                    <w:top w:val="none" w:sz="0" w:space="0" w:color="auto"/>
                                    <w:left w:val="none" w:sz="0" w:space="0" w:color="auto"/>
                                    <w:bottom w:val="none" w:sz="0" w:space="0" w:color="auto"/>
                                    <w:right w:val="none" w:sz="0" w:space="0" w:color="auto"/>
                                  </w:divBdr>
                                  <w:divsChild>
                                    <w:div w:id="13621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ac.uk/study/undergraduate/applying/policies-and-procedures/uk-qualification-reform" TargetMode="External"/><Relationship Id="rId13" Type="http://schemas.openxmlformats.org/officeDocument/2006/relationships/hyperlink" Target="https://www.cardiff.ac.uk/study/undergraduate/courses/browse-by-school/school-of-engineering" TargetMode="External"/><Relationship Id="rId18" Type="http://schemas.openxmlformats.org/officeDocument/2006/relationships/hyperlink" Target="https://www.cardiff.ac.uk/study/undergraduate/applying/policies-and-procedures/uk-qualification-reform" TargetMode="External"/><Relationship Id="rId3" Type="http://schemas.openxmlformats.org/officeDocument/2006/relationships/settings" Target="settings.xml"/><Relationship Id="rId7" Type="http://schemas.openxmlformats.org/officeDocument/2006/relationships/hyperlink" Target="https://www.cardiff.ac.uk/study/undergraduate/applying/policies-and-procedures/uk-qualification-reform" TargetMode="External"/><Relationship Id="rId12" Type="http://schemas.openxmlformats.org/officeDocument/2006/relationships/hyperlink" Target="https://www.cardiff.ac.uk/study/undergraduate/courses/browse-by-school/school-of-dentistry" TargetMode="External"/><Relationship Id="rId17" Type="http://schemas.openxmlformats.org/officeDocument/2006/relationships/hyperlink" Target="https://www.cardiff.ac.uk/study/undergraduate/applying/policies-and-procedures/uk-qualification-reform" TargetMode="External"/><Relationship Id="rId2" Type="http://schemas.openxmlformats.org/officeDocument/2006/relationships/styles" Target="styles.xml"/><Relationship Id="rId16" Type="http://schemas.openxmlformats.org/officeDocument/2006/relationships/hyperlink" Target="http://www.cardiff.ac.uk/study/undergraduate/courses/course/physiotherapy-bs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rdiff.ac.uk/study/undergraduate/applying/policies-and-procedures/uk-qualification-reform" TargetMode="External"/><Relationship Id="rId11" Type="http://schemas.openxmlformats.org/officeDocument/2006/relationships/hyperlink" Target="https://www.cardiff.ac.uk/study/undergraduate/courses/browse-by-school/school-of-chemistry" TargetMode="External"/><Relationship Id="rId5" Type="http://schemas.openxmlformats.org/officeDocument/2006/relationships/hyperlink" Target="https://www.cardiff.ac.uk/study/undergraduate/applying/policies-and-procedures/uk-qualification-reform" TargetMode="External"/><Relationship Id="rId15" Type="http://schemas.openxmlformats.org/officeDocument/2006/relationships/hyperlink" Target="https://www.cardiff.ac.uk/study/undergraduate/courses/browse-by-school/school-of-physics-and-astronomy" TargetMode="External"/><Relationship Id="rId10" Type="http://schemas.openxmlformats.org/officeDocument/2006/relationships/hyperlink" Target="https://www.cardiff.ac.uk/study/undergraduate/courses/browse-by-school/school-of-bioscien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rdiff.ac.uk/study/undergraduate/applying/policies-and-procedures/uk-qualification-reform" TargetMode="External"/><Relationship Id="rId14" Type="http://schemas.openxmlformats.org/officeDocument/2006/relationships/hyperlink" Target="https://www.cardiff.ac.uk/study/undergraduate/courses/browse-by-school/school-of-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Everitt</dc:creator>
  <cp:keywords/>
  <dc:description/>
  <cp:lastModifiedBy>Melanie Everitt</cp:lastModifiedBy>
  <cp:revision>1</cp:revision>
  <dcterms:created xsi:type="dcterms:W3CDTF">2018-04-16T11:32:00Z</dcterms:created>
  <dcterms:modified xsi:type="dcterms:W3CDTF">2018-04-16T11:32:00Z</dcterms:modified>
</cp:coreProperties>
</file>